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 в сфере географии</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сфере географии»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«Методология и методы педагогического исследования в сфере географии».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в сфере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«Методология и методы педагогического исследования в сфере географии»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(географическое 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научно- исследовательской работы со школьниками по географии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 УК-3, УК-2,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 в сфере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педагогических исследований в методике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географии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 в сфере географии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педагогических исследований в методике географии.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научного исследования в методике обучения географии. Теоретические методы и их применение при постановке исследования с целью определения актуальности темы, предмета и объекта исследования, выдвижения гипотезы. Эмпирические методы, виды педагогического эксперимента; обработка его результатов. Исследовательская</w:t>
            </w:r>
          </w:p>
          <w:p>
            <w:pPr>
              <w:jc w:val="both"/>
              <w:spacing w:after="0" w:line="240" w:lineRule="auto"/>
              <w:rPr>
                <w:sz w:val="24"/>
                <w:szCs w:val="24"/>
              </w:rPr>
            </w:pPr>
            <w:r>
              <w:rPr>
                <w:rFonts w:ascii="Times New Roman" w:hAnsi="Times New Roman" w:cs="Times New Roman"/>
                <w:color w:val="#000000"/>
                <w:sz w:val="24"/>
                <w:szCs w:val="24"/>
              </w:rPr>
              <w:t> компетенция учителя географии.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 в сфере географии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Формулирование гипотезы исследования. Обсуждение формулировок, соотнесение с предшествующими характеристиками</w:t>
            </w:r>
          </w:p>
          <w:p>
            <w:pPr>
              <w:jc w:val="both"/>
              <w:spacing w:after="0" w:line="240" w:lineRule="auto"/>
              <w:rPr>
                <w:sz w:val="24"/>
                <w:szCs w:val="24"/>
              </w:rPr>
            </w:pPr>
            <w:r>
              <w:rPr>
                <w:rFonts w:ascii="Times New Roman" w:hAnsi="Times New Roman" w:cs="Times New Roman"/>
                <w:color w:val="#000000"/>
                <w:sz w:val="24"/>
                <w:szCs w:val="24"/>
              </w:rPr>
              <w:t> Определение задач исследования. Соответствие предложенных задач цели и гипотезе исследования.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педагогических исследований в методике географии.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сущностные характеристики, типы, виды и формы представления результа- тов педагогических исследований.</w:t>
            </w:r>
          </w:p>
          <w:p>
            <w:pPr>
              <w:jc w:val="both"/>
              <w:spacing w:after="0" w:line="240" w:lineRule="auto"/>
              <w:rPr>
                <w:sz w:val="24"/>
                <w:szCs w:val="24"/>
              </w:rPr>
            </w:pPr>
            <w:r>
              <w:rPr>
                <w:rFonts w:ascii="Times New Roman" w:hAnsi="Times New Roman" w:cs="Times New Roman"/>
                <w:color w:val="#000000"/>
                <w:sz w:val="24"/>
                <w:szCs w:val="24"/>
              </w:rPr>
              <w:t> Провести сравнительный анализ способов визуализации данных и выводов исследования: схемы, диаграммы, графики, рисунки и т.д.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 в сфере географии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 выбрать проблему и тему педагогического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Как определить цели и сформировать задачи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3. На чем основывается актуальность исследования?</w:t>
            </w:r>
          </w:p>
          <w:p>
            <w:pPr>
              <w:jc w:val="left"/>
              <w:spacing w:after="0" w:line="240" w:lineRule="auto"/>
              <w:rPr>
                <w:sz w:val="24"/>
                <w:szCs w:val="24"/>
              </w:rPr>
            </w:pPr>
            <w:r>
              <w:rPr>
                <w:rFonts w:ascii="Times New Roman" w:hAnsi="Times New Roman" w:cs="Times New Roman"/>
                <w:color w:val="#000000"/>
                <w:sz w:val="24"/>
                <w:szCs w:val="24"/>
              </w:rPr>
              <w:t> 4. В чем суть методики педагогического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5. Как организовать и провести педагогический эксперимент?</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педагогических исследований в методике географии.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обучения географии (методы, модули, проблемное образование</w:t>
            </w:r>
          </w:p>
          <w:p>
            <w:pPr>
              <w:jc w:val="left"/>
              <w:spacing w:after="0" w:line="240" w:lineRule="auto"/>
              <w:rPr>
                <w:sz w:val="24"/>
                <w:szCs w:val="24"/>
              </w:rPr>
            </w:pPr>
            <w:r>
              <w:rPr>
                <w:rFonts w:ascii="Times New Roman" w:hAnsi="Times New Roman" w:cs="Times New Roman"/>
                <w:color w:val="#000000"/>
                <w:sz w:val="24"/>
                <w:szCs w:val="24"/>
              </w:rPr>
              <w:t> и др.).</w:t>
            </w:r>
          </w:p>
          <w:p>
            <w:pPr>
              <w:jc w:val="left"/>
              <w:spacing w:after="0" w:line="240" w:lineRule="auto"/>
              <w:rPr>
                <w:sz w:val="24"/>
                <w:szCs w:val="24"/>
              </w:rPr>
            </w:pPr>
            <w:r>
              <w:rPr>
                <w:rFonts w:ascii="Times New Roman" w:hAnsi="Times New Roman" w:cs="Times New Roman"/>
                <w:color w:val="#000000"/>
                <w:sz w:val="24"/>
                <w:szCs w:val="24"/>
              </w:rPr>
              <w:t> Система средств обучения географии.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в сфере географии» / Денисова Е.С..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Бенедицкая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Гаврилин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Захарычева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Парфенова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Скрынникова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Тейюбова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Шейнис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Эйдемиллер</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Якушева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https://urait.ru/bcode/492011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Голубчик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Евдокимов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Носонов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https://urait.ru/bcode/498890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6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2024-2025_ФГОС3++2024_Бак-ЗФО-ПО(ГО)(24)_plx_Методология и методы педагогического исследования в сфере географии</dc:title>
  <dc:creator>FastReport.NET</dc:creator>
</cp:coreProperties>
</file>